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CE" w:rsidRPr="000D4A37" w:rsidRDefault="003B0F2B" w:rsidP="00386CCE">
      <w:pPr>
        <w:jc w:val="center"/>
        <w:rPr>
          <w:rFonts w:ascii="PF Bulletin Sans Pro" w:hAnsi="PF Bulletin Sans Pro"/>
          <w:b/>
          <w:sz w:val="28"/>
          <w:szCs w:val="24"/>
          <w:lang w:val="en-US"/>
        </w:rPr>
      </w:pPr>
      <w:r w:rsidRPr="000D4A37">
        <w:rPr>
          <w:rFonts w:ascii="PF Bulletin Sans Pro" w:hAnsi="PF Bulletin Sans Pro"/>
          <w:b/>
          <w:sz w:val="28"/>
          <w:szCs w:val="24"/>
          <w:lang w:val="en-US"/>
        </w:rPr>
        <w:t>CERTIFICATE OF KNOWLEDGE OF FOREIGN LANGUAGE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4682"/>
      </w:tblGrid>
      <w:tr w:rsidR="00386CCE" w:rsidRPr="00180A2E" w:rsidTr="000D4A37">
        <w:trPr>
          <w:trHeight w:val="244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180A2E" w:rsidRDefault="003B0F2B" w:rsidP="003B0F2B">
            <w:pPr>
              <w:jc w:val="center"/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PF Bulletin Sans Pro" w:hAnsi="PF Bulletin Sans Pro"/>
                <w:b/>
                <w:sz w:val="24"/>
                <w:szCs w:val="24"/>
                <w:lang w:val="en-US"/>
              </w:rPr>
              <w:t>INFORMATION ABOUT STUDENT</w:t>
            </w:r>
            <w:r w:rsidR="00386CCE" w:rsidRPr="00180A2E">
              <w:rPr>
                <w:rFonts w:ascii="PF Bulletin Sans Pro" w:hAnsi="PF Bulletin Sans Pro"/>
                <w:b/>
                <w:sz w:val="24"/>
                <w:szCs w:val="24"/>
              </w:rPr>
              <w:t xml:space="preserve"> </w:t>
            </w:r>
          </w:p>
        </w:tc>
      </w:tr>
      <w:tr w:rsidR="00386CCE" w:rsidRPr="00180A2E" w:rsidTr="000D4A37"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180A2E" w:rsidRDefault="003B0F2B" w:rsidP="00386CCE">
            <w:pPr>
              <w:spacing w:line="360" w:lineRule="auto"/>
              <w:rPr>
                <w:rFonts w:ascii="PF Bulletin Sans Pro" w:hAnsi="PF Bulletin Sans Pro"/>
                <w:b/>
                <w:sz w:val="24"/>
                <w:szCs w:val="24"/>
                <w:lang w:eastAsia="en-US"/>
              </w:rPr>
            </w:pPr>
            <w:r w:rsidRPr="003B0F2B"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/>
              </w:rPr>
              <w:t>FULL NAME</w:t>
            </w:r>
            <w:r w:rsidR="00386CCE" w:rsidRPr="00180A2E">
              <w:rPr>
                <w:rFonts w:ascii="PF Bulletin Sans Pro" w:hAnsi="PF Bulletin Sans Pro"/>
                <w:b/>
                <w:sz w:val="24"/>
                <w:szCs w:val="24"/>
              </w:rPr>
              <w:t xml:space="preserve"> </w:t>
            </w:r>
          </w:p>
        </w:tc>
      </w:tr>
      <w:tr w:rsidR="00386CCE" w:rsidRPr="00180A2E" w:rsidTr="000D4A37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180A2E" w:rsidRDefault="003B0F2B" w:rsidP="00386CCE">
            <w:pPr>
              <w:spacing w:line="360" w:lineRule="auto"/>
              <w:rPr>
                <w:rFonts w:ascii="PF Bulletin Sans Pro" w:hAnsi="PF Bulletin Sans Pro"/>
                <w:sz w:val="24"/>
                <w:szCs w:val="24"/>
                <w:lang w:eastAsia="en-US"/>
              </w:rPr>
            </w:pPr>
            <w:r w:rsidRPr="003B0F2B"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/>
              </w:rPr>
              <w:t>DEPARTMENT</w:t>
            </w:r>
            <w:r w:rsidR="00386CCE" w:rsidRPr="00180A2E">
              <w:rPr>
                <w:rFonts w:ascii="PF Bulletin Sans Pro" w:hAnsi="PF Bulletin Sans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180A2E" w:rsidRDefault="003B0F2B" w:rsidP="00180A2E">
            <w:pPr>
              <w:spacing w:line="360" w:lineRule="auto"/>
              <w:rPr>
                <w:rFonts w:ascii="PF Bulletin Sans Pro" w:hAnsi="PF Bulletin Sans Pro"/>
                <w:b/>
                <w:sz w:val="24"/>
                <w:szCs w:val="24"/>
                <w:lang w:eastAsia="en-US"/>
              </w:rPr>
            </w:pPr>
            <w:r w:rsidRPr="003B0F2B"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/>
              </w:rPr>
              <w:t xml:space="preserve">GROUP </w:t>
            </w:r>
            <w:r w:rsidRPr="003B0F2B">
              <w:rPr>
                <w:rFonts w:ascii="PF Bulletin Sans Pro" w:hAnsi="PF Bulletin Sans Pro"/>
                <w:b/>
                <w:sz w:val="24"/>
                <w:szCs w:val="24"/>
                <w:highlight w:val="lightGray"/>
              </w:rPr>
              <w:t>№</w:t>
            </w:r>
            <w:r w:rsidR="00386CCE" w:rsidRPr="00180A2E">
              <w:rPr>
                <w:rFonts w:ascii="PF Bulletin Sans Pro" w:hAnsi="PF Bulletin Sans Pro"/>
                <w:b/>
                <w:sz w:val="24"/>
                <w:szCs w:val="24"/>
              </w:rPr>
              <w:t xml:space="preserve"> </w:t>
            </w:r>
          </w:p>
        </w:tc>
      </w:tr>
      <w:tr w:rsidR="00386CCE" w:rsidRPr="00180A2E" w:rsidTr="000D4A37">
        <w:trPr>
          <w:trHeight w:val="787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3B0F2B" w:rsidRDefault="003B0F2B" w:rsidP="00386CCE">
            <w:pPr>
              <w:spacing w:line="360" w:lineRule="auto"/>
              <w:rPr>
                <w:rFonts w:ascii="PF Bulletin Sans Pro" w:hAnsi="PF Bulletin Sans Pro"/>
                <w:b/>
                <w:sz w:val="24"/>
                <w:szCs w:val="24"/>
                <w:lang w:val="en-US" w:eastAsia="en-US"/>
              </w:rPr>
            </w:pPr>
            <w:r w:rsidRPr="003B0F2B"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/>
              </w:rPr>
              <w:t>LANGUAGE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3B0F2B" w:rsidRDefault="003B0F2B" w:rsidP="00386CCE">
            <w:pPr>
              <w:spacing w:line="360" w:lineRule="auto"/>
              <w:rPr>
                <w:rFonts w:ascii="PF Bulletin Sans Pro" w:hAnsi="PF Bulletin Sans Pro"/>
                <w:sz w:val="24"/>
                <w:szCs w:val="24"/>
                <w:lang w:val="en-US" w:eastAsia="en-US"/>
              </w:rPr>
            </w:pPr>
            <w:r w:rsidRPr="003B0F2B"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/>
              </w:rPr>
              <w:t>CONTACT INFORMATION</w:t>
            </w:r>
          </w:p>
          <w:p w:rsidR="00386CCE" w:rsidRPr="00180A2E" w:rsidRDefault="00386CCE" w:rsidP="00097D47">
            <w:pPr>
              <w:spacing w:line="360" w:lineRule="auto"/>
              <w:rPr>
                <w:rFonts w:ascii="PF Bulletin Sans Pro" w:hAnsi="PF Bulletin Sans Pro"/>
                <w:sz w:val="24"/>
                <w:szCs w:val="24"/>
                <w:lang w:eastAsia="en-US"/>
              </w:rPr>
            </w:pPr>
          </w:p>
        </w:tc>
      </w:tr>
      <w:tr w:rsidR="00386CCE" w:rsidRPr="00180A2E" w:rsidTr="000D4A37">
        <w:tc>
          <w:tcPr>
            <w:tcW w:w="9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CCE" w:rsidRPr="00180A2E" w:rsidRDefault="00386CCE" w:rsidP="00097D47">
            <w:pPr>
              <w:rPr>
                <w:rFonts w:ascii="PF Bulletin Sans Pro" w:hAnsi="PF Bulletin Sans Pro"/>
                <w:sz w:val="24"/>
                <w:szCs w:val="24"/>
                <w:lang w:eastAsia="en-US"/>
              </w:rPr>
            </w:pPr>
          </w:p>
        </w:tc>
      </w:tr>
      <w:tr w:rsidR="00386CCE" w:rsidRPr="00180A2E" w:rsidTr="000D4A37">
        <w:trPr>
          <w:trHeight w:val="143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3B0F2B" w:rsidRDefault="003B0F2B" w:rsidP="000D4A37">
            <w:pPr>
              <w:jc w:val="center"/>
              <w:rPr>
                <w:rFonts w:ascii="PF Bulletin Sans Pro" w:hAnsi="PF Bulletin Sans Pro"/>
                <w:b/>
                <w:sz w:val="24"/>
                <w:szCs w:val="24"/>
                <w:lang w:val="en-US" w:eastAsia="en-US"/>
              </w:rPr>
            </w:pPr>
            <w:r>
              <w:rPr>
                <w:rFonts w:ascii="PF Bulletin Sans Pro" w:hAnsi="PF Bulletin Sans Pro"/>
                <w:b/>
                <w:sz w:val="24"/>
                <w:szCs w:val="24"/>
                <w:lang w:val="en-US"/>
              </w:rPr>
              <w:t>INFORMATION ABOUT</w:t>
            </w:r>
            <w:r w:rsidR="000D4A37">
              <w:rPr>
                <w:rFonts w:ascii="PF Bulletin Sans Pro" w:hAnsi="PF Bulletin Sans Pro"/>
                <w:b/>
                <w:sz w:val="24"/>
                <w:szCs w:val="24"/>
                <w:lang w:val="en-US"/>
              </w:rPr>
              <w:t xml:space="preserve"> EXAMINER</w:t>
            </w:r>
          </w:p>
        </w:tc>
      </w:tr>
      <w:tr w:rsidR="00386CCE" w:rsidRPr="00180A2E" w:rsidTr="000D4A37">
        <w:trPr>
          <w:trHeight w:val="390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180A2E" w:rsidRDefault="003B0F2B" w:rsidP="00097D47">
            <w:pPr>
              <w:rPr>
                <w:rFonts w:ascii="PF Bulletin Sans Pro" w:hAnsi="PF Bulletin Sans Pro"/>
                <w:b/>
                <w:sz w:val="24"/>
                <w:szCs w:val="24"/>
                <w:lang w:eastAsia="en-US"/>
              </w:rPr>
            </w:pPr>
            <w:r w:rsidRPr="003B0F2B"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/>
              </w:rPr>
              <w:t>FULL NAME</w:t>
            </w:r>
          </w:p>
        </w:tc>
      </w:tr>
      <w:tr w:rsidR="00386CCE" w:rsidRPr="00180A2E" w:rsidTr="000D4A37">
        <w:trPr>
          <w:trHeight w:val="390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180A2E" w:rsidRDefault="003B0F2B" w:rsidP="00097D47">
            <w:pPr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/>
              </w:rPr>
              <w:t>POSITION</w:t>
            </w:r>
            <w:r w:rsidR="00386CCE" w:rsidRPr="00180A2E">
              <w:rPr>
                <w:rFonts w:ascii="PF Bulletin Sans Pro" w:hAnsi="PF Bulletin Sans Pro"/>
                <w:b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386CCE" w:rsidRPr="00180A2E" w:rsidTr="000D4A37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3B0F2B" w:rsidRDefault="003B0F2B" w:rsidP="00097D47">
            <w:pPr>
              <w:spacing w:line="360" w:lineRule="auto"/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 w:eastAsia="en-US"/>
              </w:rPr>
            </w:pPr>
            <w:r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/>
              </w:rPr>
              <w:t>EMAIL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CE" w:rsidRPr="003B0F2B" w:rsidRDefault="003B0F2B" w:rsidP="00097D47">
            <w:pPr>
              <w:spacing w:line="360" w:lineRule="auto"/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 w:eastAsia="en-US"/>
              </w:rPr>
            </w:pPr>
            <w:r>
              <w:rPr>
                <w:rFonts w:ascii="PF Bulletin Sans Pro" w:hAnsi="PF Bulletin Sans Pro"/>
                <w:b/>
                <w:sz w:val="24"/>
                <w:szCs w:val="24"/>
                <w:highlight w:val="lightGray"/>
                <w:lang w:val="en-US"/>
              </w:rPr>
              <w:t>TEL.</w:t>
            </w:r>
          </w:p>
        </w:tc>
      </w:tr>
    </w:tbl>
    <w:p w:rsidR="00386CCE" w:rsidRPr="00180A2E" w:rsidRDefault="00386CCE" w:rsidP="00386CCE">
      <w:pPr>
        <w:rPr>
          <w:rFonts w:ascii="PF Bulletin Sans Pro" w:hAnsi="PF Bulletin Sans Pro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245"/>
        <w:gridCol w:w="7559"/>
      </w:tblGrid>
      <w:tr w:rsidR="00360DA6" w:rsidRPr="0018084E" w:rsidTr="00180A2E">
        <w:tc>
          <w:tcPr>
            <w:tcW w:w="2272" w:type="dxa"/>
          </w:tcPr>
          <w:p w:rsidR="00360DA6" w:rsidRPr="0009459A" w:rsidRDefault="00360DA6" w:rsidP="00180A2E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А1</w:t>
            </w:r>
          </w:p>
          <w:p w:rsidR="00180A2E" w:rsidRPr="0009459A" w:rsidRDefault="00180A2E" w:rsidP="0019437C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9437C">
              <w:rPr>
                <w:rFonts w:ascii="PF Bulletin Sans Pro" w:hAnsi="PF Bulletin Sans Pro" w:cs="Times New Roman"/>
                <w:sz w:val="22"/>
                <w:szCs w:val="22"/>
                <w:lang w:val="en-US" w:eastAsia="en-US"/>
              </w:rPr>
              <w:t>Begginer</w:t>
            </w:r>
            <w:proofErr w:type="spellEnd"/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58" w:type="dxa"/>
          </w:tcPr>
          <w:p w:rsidR="00360DA6" w:rsidRPr="003B0F2B" w:rsidRDefault="003B0F2B" w:rsidP="00180A2E">
            <w:pPr>
              <w:jc w:val="both"/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</w:pPr>
            <w:r w:rsidRPr="003B0F2B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A basic ability to communicate and exchange information in a simple way.</w:t>
            </w:r>
          </w:p>
        </w:tc>
      </w:tr>
      <w:tr w:rsidR="00360DA6" w:rsidRPr="0018084E" w:rsidTr="00180A2E">
        <w:tc>
          <w:tcPr>
            <w:tcW w:w="2272" w:type="dxa"/>
          </w:tcPr>
          <w:p w:rsidR="00360DA6" w:rsidRPr="0009459A" w:rsidRDefault="00360DA6" w:rsidP="00180A2E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А2</w:t>
            </w:r>
          </w:p>
          <w:p w:rsidR="00180A2E" w:rsidRPr="0009459A" w:rsidRDefault="00180A2E" w:rsidP="00180A2E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Elementary</w:t>
            </w:r>
            <w:proofErr w:type="spellEnd"/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58" w:type="dxa"/>
          </w:tcPr>
          <w:p w:rsidR="00360DA6" w:rsidRPr="0019437C" w:rsidRDefault="003B0F2B" w:rsidP="00FB40F3">
            <w:pPr>
              <w:jc w:val="both"/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</w:pPr>
            <w:r w:rsidRPr="003B0F2B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An ability to deal with simple, straightforward information and begin to express oneself in familiar contexts.</w:t>
            </w:r>
            <w:r w:rsid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take part in a routine conversation on simple predictable topics.</w:t>
            </w:r>
            <w:r w:rsid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understand sentences and frequently used expressions related to areas of most immediate releva</w:t>
            </w:r>
            <w:r w:rsidR="00FB40F3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nce</w:t>
            </w:r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.</w:t>
            </w:r>
            <w:r w:rsid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communicate in simple and routine tasks requiring a simple and direct exchange of information on familiar and routine matters.</w:t>
            </w:r>
            <w:r w:rsid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describe in simple terms aspects of his/her background, immediate environment and matters in areas of immediate need.</w:t>
            </w:r>
          </w:p>
        </w:tc>
      </w:tr>
      <w:tr w:rsidR="00360DA6" w:rsidRPr="0018084E" w:rsidTr="00180A2E">
        <w:tc>
          <w:tcPr>
            <w:tcW w:w="2272" w:type="dxa"/>
          </w:tcPr>
          <w:p w:rsidR="00360DA6" w:rsidRPr="0009459A" w:rsidRDefault="00360DA6" w:rsidP="00180A2E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В1</w:t>
            </w:r>
          </w:p>
          <w:p w:rsidR="00180A2E" w:rsidRPr="0009459A" w:rsidRDefault="00180A2E" w:rsidP="0019437C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(</w:t>
            </w:r>
            <w:r w:rsidR="0019437C">
              <w:rPr>
                <w:rFonts w:ascii="PF Bulletin Sans Pro" w:hAnsi="PF Bulletin Sans Pro" w:cs="Times New Roman"/>
                <w:sz w:val="22"/>
                <w:szCs w:val="22"/>
                <w:lang w:val="en-US" w:eastAsia="en-US"/>
              </w:rPr>
              <w:t>I</w:t>
            </w:r>
            <w:proofErr w:type="spellStart"/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ntermediate</w:t>
            </w:r>
            <w:proofErr w:type="spellEnd"/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58" w:type="dxa"/>
          </w:tcPr>
          <w:p w:rsidR="00360DA6" w:rsidRPr="0019437C" w:rsidRDefault="0019437C" w:rsidP="0019437C">
            <w:pPr>
              <w:jc w:val="both"/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</w:pP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The ability to express oneself in a limited way in familiar situations and to deal in a general way with </w:t>
            </w:r>
            <w:proofErr w:type="spellStart"/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nonroutine</w:t>
            </w:r>
            <w:proofErr w:type="spellEnd"/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information.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understand the main points of clear standard input on familiar matters regularly encountere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d in work, school, leisure, etc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produce simple connected text on topics that are familiar or of personal interest.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describe experiences and events, dreams, hopes and ambitions and briefly give reasons and explanations for opinions and plans.</w:t>
            </w:r>
          </w:p>
        </w:tc>
      </w:tr>
      <w:tr w:rsidR="00360DA6" w:rsidRPr="0018084E" w:rsidTr="00180A2E">
        <w:tc>
          <w:tcPr>
            <w:tcW w:w="2272" w:type="dxa"/>
          </w:tcPr>
          <w:p w:rsidR="00360DA6" w:rsidRPr="0009459A" w:rsidRDefault="00360DA6" w:rsidP="00180A2E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В2</w:t>
            </w:r>
          </w:p>
          <w:p w:rsidR="00180A2E" w:rsidRPr="0009459A" w:rsidRDefault="00180A2E" w:rsidP="0019437C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U</w:t>
            </w:r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pper</w:t>
            </w:r>
            <w:proofErr w:type="spellEnd"/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intermediate</w:t>
            </w:r>
            <w:proofErr w:type="spellEnd"/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58" w:type="dxa"/>
          </w:tcPr>
          <w:p w:rsidR="00360DA6" w:rsidRPr="0019437C" w:rsidRDefault="0019437C" w:rsidP="0019437C">
            <w:pPr>
              <w:jc w:val="both"/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</w:pP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The capacity to achieve most goals and express oneself on a range of topics.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show visitors around and give a detailed description of a place.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understand the main ideas of complex text on both concrete and abstract topics, including technical discussions in his/her field of specialization.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interact with a degree of fluency and spontaneity that makes regular interaction with native speakers quite possible without strain for either party.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produce clear, detailed text on a wide range of subjects and explain a viewpoint on a topical issue giving the advantages and disadvantages of various options.</w:t>
            </w:r>
          </w:p>
        </w:tc>
      </w:tr>
      <w:tr w:rsidR="00360DA6" w:rsidRPr="0018084E" w:rsidTr="00180A2E">
        <w:tc>
          <w:tcPr>
            <w:tcW w:w="2272" w:type="dxa"/>
          </w:tcPr>
          <w:p w:rsidR="00360DA6" w:rsidRPr="0009459A" w:rsidRDefault="00360DA6" w:rsidP="00180A2E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С1</w:t>
            </w:r>
          </w:p>
          <w:p w:rsidR="00180A2E" w:rsidRPr="0009459A" w:rsidRDefault="00180A2E" w:rsidP="00180A2E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A</w:t>
            </w:r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dvanced</w:t>
            </w:r>
            <w:proofErr w:type="spellEnd"/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58" w:type="dxa"/>
          </w:tcPr>
          <w:p w:rsidR="00360DA6" w:rsidRPr="0019437C" w:rsidRDefault="0019437C" w:rsidP="0019437C">
            <w:pPr>
              <w:jc w:val="both"/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</w:pP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The ability to communicate with the emphasis on how well it is done, in terms of </w:t>
            </w:r>
            <w:proofErr w:type="spellStart"/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appropriacy</w:t>
            </w:r>
            <w:proofErr w:type="spellEnd"/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, sensitivity and the capacity to deal with unfamiliar topics.</w:t>
            </w:r>
            <w:r w:rsidRPr="0019437C">
              <w:rPr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understand a wide range of demanding, longer clauses, and recognize implicit meaning.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express ideas fluently and spontaneously without much obvious searching for expressions.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use language flexibly and effectively for social, academic and professional purposes.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produce clear, well-structured, detailed text on complex subjects, showing controlled use of organizational patterns, connectors and cohesive devices.</w:t>
            </w:r>
          </w:p>
        </w:tc>
      </w:tr>
      <w:tr w:rsidR="00360DA6" w:rsidRPr="0018084E" w:rsidTr="00180A2E">
        <w:tc>
          <w:tcPr>
            <w:tcW w:w="2272" w:type="dxa"/>
          </w:tcPr>
          <w:p w:rsidR="00360DA6" w:rsidRPr="0009459A" w:rsidRDefault="00360DA6" w:rsidP="00180A2E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С2</w:t>
            </w:r>
          </w:p>
          <w:p w:rsidR="00180A2E" w:rsidRPr="0009459A" w:rsidRDefault="00180A2E" w:rsidP="00180A2E">
            <w:pPr>
              <w:jc w:val="center"/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</w:pPr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P</w:t>
            </w:r>
            <w:r w:rsidR="0019437C" w:rsidRPr="0019437C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roficiency</w:t>
            </w:r>
            <w:proofErr w:type="spellEnd"/>
            <w:r w:rsidRPr="0009459A">
              <w:rPr>
                <w:rFonts w:ascii="PF Bulletin Sans Pro" w:hAnsi="PF Bulletin Sans Pro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58" w:type="dxa"/>
          </w:tcPr>
          <w:p w:rsidR="00360DA6" w:rsidRPr="0019437C" w:rsidRDefault="0019437C" w:rsidP="0019437C">
            <w:pPr>
              <w:jc w:val="both"/>
              <w:rPr>
                <w:rFonts w:ascii="PF Bulletin Sans Pro" w:hAnsi="PF Bulletin Sans Pro" w:cs="Times New Roman"/>
                <w:sz w:val="22"/>
                <w:szCs w:val="22"/>
                <w:lang w:val="en-US" w:eastAsia="en-US"/>
              </w:rPr>
            </w:pP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The capacity to deal with </w:t>
            </w:r>
            <w:r w:rsidR="0018084E"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material, which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is academic or cognitively demanding, and to use language to good effect at a level of </w:t>
            </w:r>
            <w:r w:rsidR="0018084E"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performance, which </w:t>
            </w:r>
            <w:bookmarkStart w:id="0" w:name="_GoBack"/>
            <w:bookmarkEnd w:id="0"/>
            <w:proofErr w:type="gramStart"/>
            <w:r w:rsidR="0018084E"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may in certain respects be</w:t>
            </w:r>
            <w:proofErr w:type="gramEnd"/>
            <w:r w:rsidR="0018084E"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more,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advanced than that of an average native speaker.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understand with ease virtually everything heard or read.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summarize information from different spoken and written sources, reconstructing arguments and accounts in a coherent presentation.</w:t>
            </w:r>
            <w:r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 xml:space="preserve"> </w:t>
            </w:r>
            <w:r w:rsidRPr="0019437C">
              <w:rPr>
                <w:rFonts w:ascii="PF Bulletin Sans Pro" w:hAnsi="PF Bulletin Sans Pro" w:cs="Times New Roman"/>
                <w:sz w:val="22"/>
                <w:szCs w:val="22"/>
                <w:lang w:val="en-US"/>
              </w:rPr>
              <w:t>Can express him/herself spontaneously, very fluently and precisely, differentiating finer shades of meaning even in the most complex situations.</w:t>
            </w:r>
          </w:p>
        </w:tc>
      </w:tr>
    </w:tbl>
    <w:p w:rsidR="009951A3" w:rsidRPr="000D4A37" w:rsidRDefault="000D4A37" w:rsidP="000D4A37">
      <w:pPr>
        <w:tabs>
          <w:tab w:val="left" w:pos="2835"/>
        </w:tabs>
        <w:spacing w:before="240"/>
        <w:rPr>
          <w:rFonts w:ascii="PF Bulletin Sans Pro" w:hAnsi="PF Bulletin Sans Pro" w:cs="Times New Roman"/>
          <w:sz w:val="28"/>
          <w:szCs w:val="28"/>
          <w:lang w:val="en-US"/>
        </w:rPr>
      </w:pPr>
      <w:r>
        <w:rPr>
          <w:rFonts w:ascii="PF Bulletin Sans Pro" w:hAnsi="PF Bulletin Sans Pro" w:cs="Times New Roman"/>
          <w:sz w:val="28"/>
          <w:szCs w:val="28"/>
          <w:lang w:val="en-US"/>
        </w:rPr>
        <w:t>I confirm that the student has ___________ level of foreign language</w:t>
      </w:r>
      <w:r w:rsidR="009951A3" w:rsidRPr="000D4A37">
        <w:rPr>
          <w:rFonts w:ascii="PF Bulletin Sans Pro" w:hAnsi="PF Bulletin Sans Pro" w:cs="Times New Roman"/>
          <w:sz w:val="28"/>
          <w:szCs w:val="28"/>
          <w:lang w:val="en-US"/>
        </w:rPr>
        <w:t>.</w:t>
      </w:r>
    </w:p>
    <w:p w:rsidR="001A4F9B" w:rsidRPr="00180A2E" w:rsidRDefault="000D4A37">
      <w:pPr>
        <w:rPr>
          <w:rFonts w:ascii="PF Bulletin Sans Pro" w:hAnsi="PF Bulletin Sans Pro"/>
          <w:sz w:val="28"/>
        </w:rPr>
      </w:pPr>
      <w:r>
        <w:rPr>
          <w:rFonts w:ascii="PF Bulletin Sans Pro" w:hAnsi="PF Bulletin Sans Pro"/>
          <w:sz w:val="28"/>
          <w:lang w:val="en-US"/>
        </w:rPr>
        <w:t>Examiner’s signature</w:t>
      </w:r>
      <w:r w:rsidR="001A4F9B" w:rsidRPr="00180A2E">
        <w:rPr>
          <w:rFonts w:ascii="PF Bulletin Sans Pro" w:hAnsi="PF Bulletin Sans Pro"/>
          <w:sz w:val="28"/>
        </w:rPr>
        <w:t xml:space="preserve"> ______________________</w:t>
      </w:r>
    </w:p>
    <w:sectPr w:rsidR="001A4F9B" w:rsidRPr="00180A2E" w:rsidSect="000D4A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ulletin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52E5"/>
    <w:multiLevelType w:val="hybridMultilevel"/>
    <w:tmpl w:val="49409CD2"/>
    <w:lvl w:ilvl="0" w:tplc="FDB497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81"/>
    <w:rsid w:val="0009459A"/>
    <w:rsid w:val="000D4A37"/>
    <w:rsid w:val="000D55B0"/>
    <w:rsid w:val="00130EFE"/>
    <w:rsid w:val="0018084E"/>
    <w:rsid w:val="00180A2E"/>
    <w:rsid w:val="0019437C"/>
    <w:rsid w:val="001A4F9B"/>
    <w:rsid w:val="002E704F"/>
    <w:rsid w:val="002E7879"/>
    <w:rsid w:val="00360DA6"/>
    <w:rsid w:val="00386CCE"/>
    <w:rsid w:val="003B0F2B"/>
    <w:rsid w:val="003C086F"/>
    <w:rsid w:val="003D3A75"/>
    <w:rsid w:val="004A7761"/>
    <w:rsid w:val="00681B9B"/>
    <w:rsid w:val="009136DE"/>
    <w:rsid w:val="009951A3"/>
    <w:rsid w:val="009D4CDA"/>
    <w:rsid w:val="00A26265"/>
    <w:rsid w:val="00A3415E"/>
    <w:rsid w:val="00C177A0"/>
    <w:rsid w:val="00DF31B0"/>
    <w:rsid w:val="00FB40F3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ACDBB-90CA-4C78-8F9E-CDEAEA56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C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C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A776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046B-EC0E-416E-AD84-48A560FD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ololo</dc:creator>
  <cp:keywords/>
  <dc:description/>
  <cp:lastModifiedBy>user</cp:lastModifiedBy>
  <cp:revision>6</cp:revision>
  <dcterms:created xsi:type="dcterms:W3CDTF">2016-04-14T05:29:00Z</dcterms:created>
  <dcterms:modified xsi:type="dcterms:W3CDTF">2016-12-23T07:43:00Z</dcterms:modified>
</cp:coreProperties>
</file>